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bCs/>
          <w:sz w:val="40"/>
        </w:rPr>
      </w:pP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w:t>【活动类】</w:t>
      </w:r>
      <w:r>
        <w:rPr>
          <w:rFonts w:hint="eastAsia" w:ascii="华文新魏" w:eastAsia="华文新魏"/>
          <w:b/>
          <w:bCs/>
          <w:sz w:val="36"/>
        </w:rPr>
        <w:t>西南交通大学第二</w:t>
      </w:r>
      <w:r>
        <w:rPr>
          <w:rFonts w:hint="eastAsia" w:ascii="华文新魏" w:eastAsia="华文新魏"/>
          <w:b/>
          <w:bCs/>
          <w:sz w:val="36"/>
          <w:lang w:eastAsia="zh-CN"/>
        </w:rPr>
        <w:t>、</w:t>
      </w:r>
      <w:r>
        <w:rPr>
          <w:rFonts w:hint="eastAsia" w:ascii="华文新魏" w:eastAsia="华文新魏"/>
          <w:b/>
          <w:bCs/>
          <w:sz w:val="36"/>
          <w:lang w:val="en-US" w:eastAsia="zh-CN"/>
        </w:rPr>
        <w:t>三</w:t>
      </w:r>
      <w:r>
        <w:rPr>
          <w:rFonts w:hint="eastAsia" w:ascii="华文新魏" w:eastAsia="华文新魏"/>
          <w:b/>
          <w:bCs/>
          <w:sz w:val="36"/>
        </w:rPr>
        <w:t>课堂课项目</w:t>
      </w:r>
      <w:bookmarkStart w:id="0" w:name="_GoBack"/>
      <w:bookmarkEnd w:id="0"/>
      <w:r>
        <w:rPr>
          <w:rFonts w:hint="eastAsia" w:ascii="华文新魏" w:eastAsia="华文新魏"/>
          <w:b/>
          <w:bCs/>
          <w:sz w:val="36"/>
        </w:rPr>
        <w:t>信息表</w:t>
      </w:r>
    </w:p>
    <w:tbl>
      <w:tblPr>
        <w:tblStyle w:val="6"/>
        <w:tblpPr w:leftFromText="180" w:rightFromText="180" w:vertAnchor="text" w:tblpX="10214" w:tblpY="-2452"/>
        <w:tblOverlap w:val="never"/>
        <w:tblW w:w="4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ascii="华文新魏" w:eastAsia="华文新魏"/>
                <w:color w:val="AFABAB" w:themeColor="background2" w:themeShade="BF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ascii="华文新魏" w:eastAsia="华文新魏"/>
                <w:b/>
                <w:bCs/>
                <w:color w:val="AFABAB" w:themeColor="background2" w:themeShade="BF"/>
                <w:sz w:val="22"/>
              </w:rPr>
            </w:pPr>
          </w:p>
        </w:tc>
      </w:tr>
    </w:tbl>
    <w:tbl>
      <w:tblPr>
        <w:tblStyle w:val="6"/>
        <w:tblpPr w:leftFromText="180" w:rightFromText="180" w:vertAnchor="page" w:horzAnchor="page" w:tblpXSpec="center" w:tblpY="2223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1"/>
        <w:gridCol w:w="169"/>
        <w:gridCol w:w="1320"/>
        <w:gridCol w:w="1650"/>
        <w:gridCol w:w="261"/>
        <w:gridCol w:w="144"/>
        <w:gridCol w:w="1242"/>
        <w:gridCol w:w="198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400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信息学院英华班1-党员干部素质提升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>Yinghua Class in SEIE</w:t>
            </w:r>
          </w:p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 xml:space="preserve">-Quality Promotion for Party Members 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400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社会工作与领导能力类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400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第一学期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第 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8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周</w:t>
            </w:r>
          </w:p>
        </w:tc>
        <w:tc>
          <w:tcPr>
            <w:tcW w:w="138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学时设置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val="en-US" w:eastAsia="zh-CN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785" w:type="dxa"/>
            <w:gridSpan w:val="8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取得学时方式</w:t>
            </w:r>
          </w:p>
        </w:tc>
        <w:tc>
          <w:tcPr>
            <w:tcW w:w="6785" w:type="dxa"/>
            <w:gridSpan w:val="8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网上公开选课后，开课方确认报名学生名单，取得开课方同意后即为选课成功；</w:t>
            </w:r>
          </w:p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成绩评定以实际参与为基准，根据参与积极性及课后实践成果反馈综合评定，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评价模型分为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：优秀、合格、不合格。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2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项目介绍</w:t>
            </w:r>
          </w:p>
        </w:tc>
        <w:tc>
          <w:tcPr>
            <w:tcW w:w="6785" w:type="dxa"/>
            <w:gridSpan w:val="8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目的与性质：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通过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学习、交流讨论、工作实践等多种方式，帮助党员骨干进一步提高党务工作技能，熟悉党支部建设中常见问题及解决方法;通过理论培训、民主生活会等工作开展形式，帮助党员骨干提升领导能力、加强党支部建设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（90-120字）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党员骨干的理论提升、党务工作指导与工作实践、党建交流工作坊、民主生活会实践模拟，共4 个单元。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（30-50字）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授课形式：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以党课学习及工作实践的形式开展，包括理论学习、交流讨论、工作实践。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（20-60字）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授课教师拥有多年学生党建工作指导经验，组织党建交流工作坊，以小组形式加强实践，邀请优秀党员骨干一对一指导，帮助参与学习的党员骨干更有针对性地提升党建工作水平，扩展党务工作技能。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（80-120字）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7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开设单位</w:t>
            </w:r>
          </w:p>
        </w:tc>
        <w:tc>
          <w:tcPr>
            <w:tcW w:w="6785" w:type="dxa"/>
            <w:gridSpan w:val="8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0"/>
                <w:sz w:val="24"/>
                <w:szCs w:val="24"/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10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老师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学生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信息学院英华班2-党员干部素质提升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>Yinghua Class in SEIE -Quality Promotion for Party</w:t>
            </w:r>
          </w:p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 xml:space="preserve">Members 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社会工作与领导能力类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每学期 第 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8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周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学时设置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616" w:type="dxa"/>
            <w:gridSpan w:val="7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取得学时方式</w:t>
            </w:r>
          </w:p>
        </w:tc>
        <w:tc>
          <w:tcPr>
            <w:tcW w:w="6616" w:type="dxa"/>
            <w:gridSpan w:val="7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网上公开选课后，开课方确认报名学生名单，取得开课方同意后即为选课成功；</w:t>
            </w:r>
          </w:p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成绩评定以实际参与为基准，根据参与积极性及课后实践成果反馈综合评定，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评价模型分为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：优秀、合格、不合格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8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项目介绍</w:t>
            </w:r>
          </w:p>
        </w:tc>
        <w:tc>
          <w:tcPr>
            <w:tcW w:w="6616" w:type="dxa"/>
            <w:gridSpan w:val="7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目的与性质：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本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以低年级学生干部责任意识与工作能力提升为基础，通过团建、班建基础知识讲授、工作经验分享、基本技能培训等，帮助学生干部快速了解学生工作内容、特点、职责，同时提升工作能力;通过实践环节，帮助学生干部熟悉工作的组织实操流程，进一步提升综合素质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（90-120字）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基层团支部、班级工作情况及工作职责解析、基层学生工作基本技能培训、实践体验，共3 个单元。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（30-50字）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授课形式：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包括课堂讲授、分享交流及组队实践3 种形式。考核方式:以课堂出勤率为基础，根据参与实践及学习总结报告综合评定。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（20-60字）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针对低年级学生干部的自身特点和工作特点设计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内容，邀请指导教师、优秀学生干部授课，结合课堂讲授、互动交流和实践等形式，更为系统地帮助学生梳理工作，培养干部责任意识，提高工作技能并提升综合素质，为学生更好地开展基层学生工作奠定基础，为优秀的学生干部成长提供支持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（80-120字）</w:t>
            </w:r>
          </w:p>
          <w:p>
            <w:pPr>
              <w:widowControl/>
              <w:ind w:firstLine="482" w:firstLineChars="200"/>
              <w:jc w:val="left"/>
              <w:rPr>
                <w:rFonts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开设单位</w:t>
            </w:r>
          </w:p>
        </w:tc>
        <w:tc>
          <w:tcPr>
            <w:tcW w:w="6616" w:type="dxa"/>
            <w:gridSpan w:val="7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0"/>
                <w:sz w:val="24"/>
                <w:szCs w:val="24"/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10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老师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学生</w:t>
            </w:r>
          </w:p>
        </w:tc>
        <w:tc>
          <w:tcPr>
            <w:tcW w:w="165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 w:ascii="华文新魏" w:eastAsia="华文新魏"/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-542925</wp:posOffset>
                </wp:positionV>
                <wp:extent cx="581025" cy="266700"/>
                <wp:effectExtent l="0" t="0" r="28575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表2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65pt;margin-top:-42.75pt;height:21pt;width:45.75pt;z-index:251658240;mso-width-relative:page;mso-height-relative:page;" fillcolor="#FFFFFF [3201]" filled="t" stroked="t" coordsize="21600,21600" o:gfxdata="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3vpcnXAAAACAEAAA8AAAAAAAAAAQAgAAAAIgAAAGRy&#10;cy9kb3ducmV2LnhtbFBLAQIUABQAAAAIAIdO4kCRHN3NPwIAAHcEAAAOAAAAAAAAAAEAIAAAACYB&#10;AABkcnMvZTJvRG9jLnhtbFBLBQYAAAAABgAGAFkBAADX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表2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 w:ascii="华文新魏" w:eastAsia="华文新魏"/>
          <w:b/>
          <w:bCs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58420</wp:posOffset>
                </wp:positionV>
                <wp:extent cx="581025" cy="266700"/>
                <wp:effectExtent l="0" t="0" r="28575" b="190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表3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85pt;margin-top:4.6pt;height:21pt;width:45.75pt;z-index:251658240;mso-width-relative:page;mso-height-relative:page;" fillcolor="#FFFFFF [3201]" filled="t" stroked="t" coordsize="21600,21600" o:gfxdata="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6MEnq1wAAAAcBAAAPAAAAAAAAAAEAIAAAACIAAABk&#10;cnMvZG93bnJldi54bWxQSwECFAAUAAAACACHTuJAUSLXO0ACAAB3BAAADgAAAAAAAAABACAAAAAm&#10;AQAAZHJzL2Uyb0RvYy54bWxQSwUGAAAAAAYABgBZAQAA2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表3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6"/>
        <w:tblpPr w:leftFromText="180" w:rightFromText="180" w:vertAnchor="page" w:horzAnchor="page" w:tblpXSpec="center" w:tblpY="2223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30"/>
        <w:gridCol w:w="1320"/>
        <w:gridCol w:w="1650"/>
        <w:gridCol w:w="405"/>
        <w:gridCol w:w="1440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信息学院英华班3-拔尖创新人才培养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>Training of Student Cadres of Class and League Branch in School of Civil Engineering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社会工作与领导能力类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每学期 第 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8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周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学时设置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2学时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取得学时方式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网上公开选课后，开课方确认报名学生名单，取得开课方同意后即为选课成功；</w:t>
            </w:r>
          </w:p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成绩评定以实际参与为基准，根据参与积极性及课后实践成果反馈综合评定，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评价模型分为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：优秀、合格、不合格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8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项目介绍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目的与性质：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本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围绕学校“培养具有家国情怀、全球视野、创新精神和实践能力的卓越人才”的人才培养理念，探索具有学院特色的拔尖创新人才培养模式，坚持教育与自我教育相结合，更加注重实践性，培养形式更加生动灵活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。（90-120字）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分为科技先锋、社会领袖、商业精英个培养方向，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包括理论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、学习分享、实践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和结业报告四个环节。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（30-50字）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授课形式：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包括开设领导力培养讲座、读书分享、导师“一对一”指导、实岗训练、参与科技竞赛和创新创业实战等形式。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（20-40字）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以参与活动的出勤率及实践报告为评定基础，结合参与积极性、结业展示、导师评价给予成绩。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更加注重学习分享和能力实战训练，坚持教育与自我教育相结合，着力提升学生的思辨能力、创新能力和领袖能力，相比课堂教学形式更加灵活、学员实际参与更深入。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（80-120字）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开设单位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0"/>
                <w:sz w:val="24"/>
                <w:szCs w:val="24"/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老师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学生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6418"/>
        <w:tab w:val="clear" w:pos="4153"/>
      </w:tabs>
      <w:jc w:val="both"/>
      <w:rPr>
        <w:rFonts w:ascii="华文新魏" w:eastAsia="华文新魏"/>
        <w:sz w:val="16"/>
      </w:rPr>
    </w:pPr>
    <w:r>
      <w:pict>
        <v:shape id="PowerPlusWaterMarkObject431249673" o:spid="_x0000_s2051" o:spt="136" type="#_x0000_t136" style="position:absolute;left:0pt;height:195.15pt;width:390.3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  <w:r>
      <w:rPr>
        <w:rFonts w:hint="eastAsia" w:ascii="华文新魏" w:eastAsia="华文新魏"/>
        <w:sz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431249672" o:spid="_x0000_s2050" o:spt="136" type="#_x0000_t136" style="position:absolute;left:0pt;height:195.15pt;width:39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431249671" o:spid="_x0000_s2049" o:spt="136" type="#_x0000_t136" style="position:absolute;left:0pt;height:195.15pt;width:390.3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205248"/>
    <w:rsid w:val="001361C8"/>
    <w:rsid w:val="00165B65"/>
    <w:rsid w:val="002624C4"/>
    <w:rsid w:val="002F21E9"/>
    <w:rsid w:val="00464176"/>
    <w:rsid w:val="005A4177"/>
    <w:rsid w:val="00881206"/>
    <w:rsid w:val="008E2DB0"/>
    <w:rsid w:val="00AE1BD7"/>
    <w:rsid w:val="00AE1C75"/>
    <w:rsid w:val="00AE6118"/>
    <w:rsid w:val="00B256AD"/>
    <w:rsid w:val="00B76F66"/>
    <w:rsid w:val="00BC4EFF"/>
    <w:rsid w:val="00BD311D"/>
    <w:rsid w:val="00C6278F"/>
    <w:rsid w:val="00C64EAA"/>
    <w:rsid w:val="00D468AA"/>
    <w:rsid w:val="03C7419E"/>
    <w:rsid w:val="0ABF15D1"/>
    <w:rsid w:val="0DD423DC"/>
    <w:rsid w:val="0E2874EA"/>
    <w:rsid w:val="13F3236B"/>
    <w:rsid w:val="1FA7798A"/>
    <w:rsid w:val="66205248"/>
    <w:rsid w:val="6673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322</Words>
  <Characters>1838</Characters>
  <Lines>15</Lines>
  <Paragraphs>4</Paragraphs>
  <ScaleCrop>false</ScaleCrop>
  <LinksUpToDate>false</LinksUpToDate>
  <CharactersWithSpaces>2156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2017-10-17T09:25:00Z</dcterms:created>
  <dc:creator>Administrator</dc:creator>
  <cp:lastModifiedBy>JD</cp:lastModifiedBy>
  <dcterms:modified xsi:type="dcterms:W3CDTF">2017-10-20T07:27:02Z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