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Times New Roman" w:hAnsi="Times New Roman" w:eastAsia="方正小标宋_GBK" w:cs="Times New Roman"/>
          <w:snapToGrid/>
          <w:kern w:val="2"/>
          <w:sz w:val="32"/>
          <w:szCs w:val="32"/>
          <w:u w:color="000000"/>
        </w:rPr>
      </w:pPr>
      <w:r>
        <w:rPr>
          <w:rFonts w:ascii="黑体" w:hAnsi="黑体" w:eastAsia="黑体" w:cs="黑体"/>
          <w:sz w:val="32"/>
          <w:szCs w:val="32"/>
          <w:lang w:val="zh-TW" w:eastAsia="zh-TW"/>
        </w:rPr>
        <w:t>附件</w:t>
      </w:r>
      <w:r>
        <w:rPr>
          <w:rFonts w:hint="eastAsia" w:ascii="黑体" w:hAnsi="黑体" w:eastAsia="黑体" w:cs="黑体"/>
          <w:sz w:val="32"/>
          <w:szCs w:val="32"/>
          <w:lang w:val="en-US" w:eastAsia="zh-CN"/>
        </w:rPr>
        <w:t>一：</w:t>
      </w:r>
    </w:p>
    <w:p>
      <w:pPr>
        <w:widowControl w:val="0"/>
        <w:kinsoku/>
        <w:autoSpaceDE/>
        <w:autoSpaceDN/>
        <w:adjustRightInd/>
        <w:snapToGrid/>
        <w:spacing w:line="700" w:lineRule="exact"/>
        <w:jc w:val="center"/>
        <w:textAlignment w:val="auto"/>
        <w:rPr>
          <w:rFonts w:hint="eastAsia" w:ascii="宋体" w:hAnsi="宋体" w:eastAsia="宋体" w:cs="宋体"/>
          <w:b/>
          <w:bCs/>
          <w:snapToGrid/>
          <w:kern w:val="2"/>
          <w:sz w:val="44"/>
          <w:szCs w:val="44"/>
          <w:u w:color="000000"/>
        </w:rPr>
      </w:pPr>
      <w:r>
        <w:rPr>
          <w:rFonts w:hint="eastAsia" w:ascii="宋体" w:hAnsi="宋体" w:eastAsia="宋体" w:cs="宋体"/>
          <w:b/>
          <w:bCs/>
          <w:snapToGrid/>
          <w:kern w:val="2"/>
          <w:sz w:val="44"/>
          <w:szCs w:val="44"/>
          <w:u w:color="000000"/>
        </w:rPr>
        <w:t>西南交通大学</w:t>
      </w:r>
      <w:r>
        <w:rPr>
          <w:rFonts w:hint="eastAsia" w:ascii="宋体" w:hAnsi="宋体" w:eastAsia="宋体" w:cs="宋体"/>
          <w:b/>
          <w:bCs/>
          <w:snapToGrid/>
          <w:kern w:val="2"/>
          <w:sz w:val="44"/>
          <w:szCs w:val="44"/>
          <w:u w:color="000000"/>
          <w:lang w:val="en-US" w:eastAsia="zh-CN"/>
        </w:rPr>
        <w:t>二级团组织</w:t>
      </w:r>
      <w:r>
        <w:rPr>
          <w:rFonts w:hint="eastAsia" w:ascii="宋体" w:hAnsi="宋体" w:eastAsia="宋体" w:cs="宋体"/>
          <w:b/>
          <w:bCs/>
          <w:snapToGrid/>
          <w:kern w:val="2"/>
          <w:sz w:val="44"/>
          <w:szCs w:val="44"/>
          <w:u w:color="000000"/>
        </w:rPr>
        <w:t>实践育人工作考核细则</w:t>
      </w:r>
    </w:p>
    <w:p>
      <w:pPr>
        <w:kinsoku/>
        <w:overflowPunct w:val="0"/>
        <w:spacing w:before="78" w:line="360" w:lineRule="auto"/>
        <w:ind w:right="14"/>
        <w:jc w:val="both"/>
        <w:rPr>
          <w:rFonts w:ascii="仿宋" w:hAnsi="仿宋" w:eastAsia="仿宋" w:cs="仿宋"/>
          <w:spacing w:val="-12"/>
          <w:sz w:val="24"/>
          <w:szCs w:val="24"/>
        </w:rPr>
      </w:pPr>
    </w:p>
    <w:p>
      <w:pPr>
        <w:widowControl w:val="0"/>
        <w:kinsoku/>
        <w:autoSpaceDE/>
        <w:autoSpaceDN/>
        <w:adjustRightInd/>
        <w:snapToGrid/>
        <w:spacing w:line="576" w:lineRule="exact"/>
        <w:ind w:firstLine="640" w:firstLineChars="200"/>
        <w:jc w:val="both"/>
        <w:textAlignment w:val="auto"/>
        <w:rPr>
          <w:rFonts w:hint="default" w:ascii="Times New Roman Regular" w:hAnsi="Times New Roman Regular" w:eastAsia="仿宋" w:cs="Times New Roman Regular"/>
          <w:snapToGrid/>
          <w:kern w:val="2"/>
          <w:sz w:val="32"/>
          <w:szCs w:val="32"/>
          <w:u w:color="000000"/>
        </w:rPr>
      </w:pPr>
      <w:r>
        <w:rPr>
          <w:rFonts w:hint="default" w:ascii="Times New Roman Regular" w:hAnsi="Times New Roman Regular" w:eastAsia="仿宋" w:cs="Times New Roman Regular"/>
          <w:snapToGrid/>
          <w:kern w:val="2"/>
          <w:sz w:val="32"/>
          <w:szCs w:val="32"/>
          <w:u w:color="000000"/>
        </w:rPr>
        <w:t>考核工作分为两部分：材料考核</w:t>
      </w:r>
      <w:r>
        <w:rPr>
          <w:rFonts w:hint="default" w:ascii="Times New Roman Regular" w:hAnsi="Times New Roman Regular" w:eastAsia="仿宋" w:cs="Times New Roman Regular"/>
          <w:snapToGrid/>
          <w:kern w:val="2"/>
          <w:sz w:val="32"/>
          <w:szCs w:val="32"/>
          <w:u w:color="000000"/>
          <w:lang w:val="en-US" w:eastAsia="zh-CN"/>
        </w:rPr>
        <w:t>和答辩考核</w:t>
      </w:r>
      <w:r>
        <w:rPr>
          <w:rFonts w:hint="default" w:ascii="Times New Roman Regular" w:hAnsi="Times New Roman Regular" w:eastAsia="仿宋" w:cs="Times New Roman Regular"/>
          <w:snapToGrid/>
          <w:kern w:val="2"/>
          <w:sz w:val="32"/>
          <w:szCs w:val="32"/>
          <w:u w:color="000000"/>
        </w:rPr>
        <w:t>。其中材料考核</w:t>
      </w:r>
      <w:r>
        <w:rPr>
          <w:rFonts w:hint="eastAsia" w:ascii="Times New Roman Regular" w:hAnsi="Times New Roman Regular" w:eastAsia="仿宋" w:cs="Times New Roman Regular"/>
          <w:snapToGrid/>
          <w:kern w:val="2"/>
          <w:sz w:val="32"/>
          <w:szCs w:val="32"/>
          <w:u w:color="000000"/>
          <w:lang w:val="en-US" w:eastAsia="zh-CN"/>
        </w:rPr>
        <w:t>成绩占</w:t>
      </w:r>
      <w:r>
        <w:rPr>
          <w:rFonts w:hint="eastAsia" w:ascii="Times New Roman Regular" w:hAnsi="Times New Roman Regular" w:eastAsia="仿宋" w:cs="Times New Roman Regular"/>
          <w:snapToGrid/>
          <w:kern w:val="2"/>
          <w:sz w:val="32"/>
          <w:szCs w:val="32"/>
          <w:u w:color="000000"/>
        </w:rPr>
        <w:t>实践育人工作考核</w:t>
      </w:r>
      <w:r>
        <w:rPr>
          <w:rFonts w:hint="eastAsia" w:ascii="Times New Roman Regular" w:hAnsi="Times New Roman Regular" w:eastAsia="仿宋" w:cs="Times New Roman Regular"/>
          <w:snapToGrid/>
          <w:kern w:val="2"/>
          <w:sz w:val="32"/>
          <w:szCs w:val="32"/>
          <w:u w:color="000000"/>
          <w:lang w:val="en-US" w:eastAsia="zh-CN"/>
        </w:rPr>
        <w:t>总成绩的</w:t>
      </w:r>
      <w:r>
        <w:rPr>
          <w:rFonts w:hint="default" w:ascii="Times New Roman Regular" w:hAnsi="Times New Roman Regular" w:eastAsia="仿宋" w:cs="Times New Roman Regular"/>
          <w:snapToGrid/>
          <w:kern w:val="2"/>
          <w:sz w:val="32"/>
          <w:szCs w:val="32"/>
          <w:u w:color="000000"/>
          <w:lang w:val="en-US" w:eastAsia="zh-CN"/>
        </w:rPr>
        <w:t>7</w:t>
      </w:r>
      <w:r>
        <w:rPr>
          <w:rFonts w:hint="default" w:ascii="Times New Roman Regular" w:hAnsi="Times New Roman Regular" w:eastAsia="仿宋" w:cs="Times New Roman Regular"/>
          <w:snapToGrid/>
          <w:kern w:val="2"/>
          <w:sz w:val="32"/>
          <w:szCs w:val="32"/>
          <w:u w:color="000000"/>
        </w:rPr>
        <w:t>0%，学院实践育人工作答辩成绩</w:t>
      </w:r>
      <w:r>
        <w:rPr>
          <w:rFonts w:hint="eastAsia" w:ascii="Times New Roman Regular" w:hAnsi="Times New Roman Regular" w:eastAsia="仿宋" w:cs="Times New Roman Regular"/>
          <w:snapToGrid/>
          <w:kern w:val="2"/>
          <w:sz w:val="32"/>
          <w:szCs w:val="32"/>
          <w:u w:color="000000"/>
          <w:lang w:val="en-US" w:eastAsia="zh-CN"/>
        </w:rPr>
        <w:t>占总成绩的30%。即</w:t>
      </w:r>
      <w:r>
        <w:rPr>
          <w:rFonts w:hint="default" w:ascii="Times New Roman Regular" w:hAnsi="Times New Roman Regular" w:eastAsia="仿宋" w:cs="Times New Roman Regular"/>
          <w:snapToGrid/>
          <w:kern w:val="2"/>
          <w:sz w:val="32"/>
          <w:szCs w:val="32"/>
          <w:u w:color="000000"/>
        </w:rPr>
        <w:t>学院实践育人工作考核总成绩=</w:t>
      </w:r>
      <w:r>
        <w:rPr>
          <w:rFonts w:hint="default" w:ascii="Times New Roman Regular" w:hAnsi="Times New Roman Regular" w:eastAsia="仿宋" w:cs="Times New Roman Regular"/>
          <w:snapToGrid/>
          <w:kern w:val="2"/>
          <w:sz w:val="32"/>
          <w:szCs w:val="32"/>
          <w:u w:color="000000"/>
          <w:lang w:val="en-US" w:eastAsia="zh-CN"/>
        </w:rPr>
        <w:t>7</w:t>
      </w:r>
      <w:r>
        <w:rPr>
          <w:rFonts w:hint="default" w:ascii="Times New Roman Regular" w:hAnsi="Times New Roman Regular" w:eastAsia="仿宋" w:cs="Times New Roman Regular"/>
          <w:snapToGrid/>
          <w:kern w:val="2"/>
          <w:sz w:val="32"/>
          <w:szCs w:val="32"/>
          <w:u w:color="000000"/>
        </w:rPr>
        <w:t>0%材料考核+</w:t>
      </w:r>
      <w:r>
        <w:rPr>
          <w:rFonts w:hint="default" w:ascii="Times New Roman Regular" w:hAnsi="Times New Roman Regular" w:eastAsia="仿宋" w:cs="Times New Roman Regular"/>
          <w:snapToGrid/>
          <w:kern w:val="2"/>
          <w:sz w:val="32"/>
          <w:szCs w:val="32"/>
          <w:u w:color="000000"/>
          <w:lang w:val="en-US" w:eastAsia="zh-CN"/>
        </w:rPr>
        <w:t>3</w:t>
      </w:r>
      <w:r>
        <w:rPr>
          <w:rFonts w:hint="default" w:ascii="Times New Roman Regular" w:hAnsi="Times New Roman Regular" w:eastAsia="仿宋" w:cs="Times New Roman Regular"/>
          <w:snapToGrid/>
          <w:kern w:val="2"/>
          <w:sz w:val="32"/>
          <w:szCs w:val="32"/>
          <w:u w:color="000000"/>
        </w:rPr>
        <w:t>0%答辩成绩</w:t>
      </w:r>
    </w:p>
    <w:p>
      <w:pPr>
        <w:widowControl w:val="0"/>
        <w:kinsoku/>
        <w:autoSpaceDE/>
        <w:autoSpaceDN/>
        <w:adjustRightInd/>
        <w:snapToGrid/>
        <w:spacing w:line="576" w:lineRule="exact"/>
        <w:ind w:firstLine="640" w:firstLineChars="200"/>
        <w:jc w:val="both"/>
        <w:textAlignment w:val="auto"/>
        <w:rPr>
          <w:rFonts w:ascii="Times New Roman" w:hAnsi="Times New Roman" w:eastAsia="黑体" w:cs="Times New Roman"/>
          <w:snapToGrid/>
          <w:kern w:val="2"/>
          <w:sz w:val="32"/>
          <w:szCs w:val="32"/>
          <w:u w:color="000000"/>
        </w:rPr>
      </w:pPr>
      <w:r>
        <w:rPr>
          <w:rFonts w:hint="eastAsia" w:ascii="Times New Roman" w:hAnsi="Times New Roman" w:eastAsia="黑体" w:cs="Times New Roman"/>
          <w:snapToGrid/>
          <w:kern w:val="2"/>
          <w:sz w:val="32"/>
          <w:szCs w:val="32"/>
          <w:u w:color="000000"/>
          <w:lang w:val="en-US" w:eastAsia="zh-CN"/>
        </w:rPr>
        <w:t>一</w:t>
      </w:r>
      <w:r>
        <w:rPr>
          <w:rFonts w:hint="eastAsia" w:ascii="Times New Roman" w:hAnsi="Times New Roman" w:eastAsia="黑体" w:cs="Times New Roman"/>
          <w:snapToGrid/>
          <w:kern w:val="2"/>
          <w:sz w:val="32"/>
          <w:szCs w:val="32"/>
          <w:u w:color="000000"/>
        </w:rPr>
        <w:t>、材料考核</w:t>
      </w:r>
    </w:p>
    <w:p>
      <w:pPr>
        <w:widowControl w:val="0"/>
        <w:kinsoku/>
        <w:autoSpaceDE/>
        <w:autoSpaceDN/>
        <w:adjustRightInd/>
        <w:snapToGrid/>
        <w:spacing w:line="576" w:lineRule="exact"/>
        <w:ind w:firstLine="640" w:firstLineChars="200"/>
        <w:jc w:val="both"/>
        <w:textAlignment w:val="auto"/>
        <w:rPr>
          <w:rFonts w:hint="default" w:ascii="Times New Roman Regular" w:hAnsi="Times New Roman Regular" w:eastAsia="仿宋" w:cs="Times New Roman Regular"/>
          <w:snapToGrid/>
          <w:kern w:val="2"/>
          <w:sz w:val="32"/>
          <w:szCs w:val="32"/>
          <w:u w:color="000000"/>
        </w:rPr>
      </w:pPr>
      <w:r>
        <w:rPr>
          <w:rFonts w:hint="default" w:ascii="Times New Roman Regular" w:hAnsi="Times New Roman Regular" w:eastAsia="仿宋" w:cs="Times New Roman Regular"/>
          <w:snapToGrid/>
          <w:kern w:val="2"/>
          <w:sz w:val="32"/>
          <w:szCs w:val="32"/>
          <w:u w:color="000000"/>
        </w:rPr>
        <w:t>各学院青协依照《西南交通大学202</w:t>
      </w:r>
      <w:r>
        <w:rPr>
          <w:rFonts w:hint="default" w:ascii="Times New Roman Regular" w:hAnsi="Times New Roman Regular" w:eastAsia="仿宋" w:cs="Times New Roman Regular"/>
          <w:snapToGrid/>
          <w:kern w:val="2"/>
          <w:sz w:val="32"/>
          <w:szCs w:val="32"/>
          <w:u w:color="000000"/>
          <w:lang w:val="en-US" w:eastAsia="zh-CN"/>
        </w:rPr>
        <w:t>4</w:t>
      </w:r>
      <w:r>
        <w:rPr>
          <w:rFonts w:hint="default" w:ascii="Times New Roman Regular" w:hAnsi="Times New Roman Regular" w:eastAsia="仿宋" w:cs="Times New Roman Regular"/>
          <w:snapToGrid/>
          <w:kern w:val="2"/>
          <w:sz w:val="32"/>
          <w:szCs w:val="32"/>
          <w:u w:color="000000"/>
        </w:rPr>
        <w:t>年度志愿服务与社会实践工作考核内容》填写《西南交通大学202</w:t>
      </w:r>
      <w:r>
        <w:rPr>
          <w:rFonts w:hint="default" w:ascii="Times New Roman Regular" w:hAnsi="Times New Roman Regular" w:eastAsia="仿宋" w:cs="Times New Roman Regular"/>
          <w:snapToGrid/>
          <w:kern w:val="2"/>
          <w:sz w:val="32"/>
          <w:szCs w:val="32"/>
          <w:u w:color="000000"/>
          <w:lang w:val="en-US" w:eastAsia="zh-CN"/>
        </w:rPr>
        <w:t>4</w:t>
      </w:r>
      <w:r>
        <w:rPr>
          <w:rFonts w:hint="default" w:ascii="Times New Roman Regular" w:hAnsi="Times New Roman Regular" w:eastAsia="仿宋" w:cs="Times New Roman Regular"/>
          <w:snapToGrid/>
          <w:kern w:val="2"/>
          <w:sz w:val="32"/>
          <w:szCs w:val="32"/>
          <w:u w:color="000000"/>
        </w:rPr>
        <w:t>年度志愿服务与社会实践工作考核自评表》（以下简称《自评表》），并根据自评分逐项收集证明材料，在指定时间内按照规定格式将《自评表》以及相关证明材料打包发送至青志联考核部邮箱。</w:t>
      </w:r>
      <w:bookmarkStart w:id="0" w:name="_GoBack"/>
      <w:bookmarkEnd w:id="0"/>
      <w:r>
        <w:rPr>
          <w:rFonts w:hint="default" w:ascii="Times New Roman Regular" w:hAnsi="Times New Roman Regular" w:eastAsia="仿宋" w:cs="Times New Roman Regular"/>
          <w:snapToGrid/>
          <w:kern w:val="2"/>
          <w:sz w:val="32"/>
          <w:szCs w:val="32"/>
          <w:u w:color="000000"/>
        </w:rPr>
        <w:t>青志联评审小组将根据各学院青协提供的证明材料对《自评表》中的自评分进行核对校正，在与各青协确认无误后，得出最终的校准分数。</w:t>
      </w:r>
    </w:p>
    <w:p>
      <w:pPr>
        <w:widowControl w:val="0"/>
        <w:kinsoku/>
        <w:autoSpaceDE/>
        <w:autoSpaceDN/>
        <w:adjustRightInd/>
        <w:snapToGrid/>
        <w:spacing w:line="576" w:lineRule="exact"/>
        <w:ind w:firstLine="640" w:firstLineChars="200"/>
        <w:jc w:val="both"/>
        <w:textAlignment w:val="auto"/>
        <w:rPr>
          <w:rFonts w:hint="default" w:ascii="Times New Roman" w:hAnsi="Times New Roman" w:eastAsia="黑体" w:cs="Times New Roman"/>
          <w:snapToGrid/>
          <w:kern w:val="2"/>
          <w:sz w:val="32"/>
          <w:szCs w:val="32"/>
          <w:u w:color="000000"/>
          <w:lang w:val="en-US" w:eastAsia="zh-CN"/>
        </w:rPr>
      </w:pPr>
      <w:r>
        <w:rPr>
          <w:rFonts w:hint="eastAsia" w:ascii="Times New Roman" w:hAnsi="Times New Roman" w:eastAsia="黑体" w:cs="Times New Roman"/>
          <w:snapToGrid/>
          <w:kern w:val="2"/>
          <w:sz w:val="32"/>
          <w:szCs w:val="32"/>
          <w:u w:color="000000"/>
          <w:lang w:val="en-US" w:eastAsia="zh-CN"/>
        </w:rPr>
        <w:t>二、答辩考核</w:t>
      </w:r>
    </w:p>
    <w:p>
      <w:pPr>
        <w:widowControl w:val="0"/>
        <w:kinsoku/>
        <w:autoSpaceDE/>
        <w:autoSpaceDN/>
        <w:adjustRightInd/>
        <w:snapToGrid/>
        <w:spacing w:line="576" w:lineRule="exact"/>
        <w:ind w:firstLine="640" w:firstLineChars="200"/>
        <w:jc w:val="both"/>
        <w:textAlignment w:val="auto"/>
        <w:rPr>
          <w:rFonts w:hint="default" w:ascii="Times New Roman Regular" w:hAnsi="Times New Roman Regular" w:eastAsia="仿宋" w:cs="Times New Roman Regular"/>
          <w:snapToGrid/>
          <w:kern w:val="2"/>
          <w:sz w:val="32"/>
          <w:szCs w:val="32"/>
          <w:u w:color="000000"/>
          <w:lang w:val="en-US" w:eastAsia="zh-CN"/>
        </w:rPr>
      </w:pPr>
      <w:r>
        <w:rPr>
          <w:rFonts w:hint="eastAsia" w:ascii="Times New Roman Regular" w:hAnsi="Times New Roman Regular" w:eastAsia="仿宋" w:cs="Times New Roman Regular"/>
          <w:snapToGrid/>
          <w:kern w:val="2"/>
          <w:sz w:val="32"/>
          <w:szCs w:val="32"/>
          <w:u w:color="000000"/>
          <w:lang w:val="en-US" w:eastAsia="zh-CN"/>
        </w:rPr>
        <w:t>该项考核分数由在场所有评委的评分去掉一个最高分和一个最低分后取平均值得到。该项考核占学院</w:t>
      </w:r>
      <w:r>
        <w:rPr>
          <w:rFonts w:hint="eastAsia" w:ascii="Times New Roman Regular" w:hAnsi="Times New Roman Regular" w:eastAsia="仿宋" w:cs="Times New Roman Regular"/>
          <w:snapToGrid/>
          <w:kern w:val="2"/>
          <w:sz w:val="32"/>
          <w:szCs w:val="32"/>
          <w:u w:color="000000"/>
        </w:rPr>
        <w:t>实践育人工作考核成绩的</w:t>
      </w:r>
      <w:r>
        <w:rPr>
          <w:rFonts w:hint="eastAsia" w:ascii="Times New Roman Regular" w:hAnsi="Times New Roman Regular" w:eastAsia="仿宋" w:cs="Times New Roman Regular"/>
          <w:snapToGrid/>
          <w:kern w:val="2"/>
          <w:sz w:val="32"/>
          <w:szCs w:val="32"/>
          <w:u w:color="000000"/>
          <w:lang w:val="en-US" w:eastAsia="zh-CN"/>
        </w:rPr>
        <w:t>3</w:t>
      </w:r>
      <w:r>
        <w:rPr>
          <w:rFonts w:hint="eastAsia" w:ascii="Times New Roman Regular" w:hAnsi="Times New Roman Regular" w:eastAsia="仿宋" w:cs="Times New Roman Regular"/>
          <w:snapToGrid/>
          <w:kern w:val="2"/>
          <w:sz w:val="32"/>
          <w:szCs w:val="32"/>
          <w:u w:color="000000"/>
        </w:rPr>
        <w:t>0%。</w:t>
      </w:r>
    </w:p>
    <w:p>
      <w:pPr>
        <w:widowControl w:val="0"/>
        <w:kinsoku/>
        <w:autoSpaceDE/>
        <w:autoSpaceDN/>
        <w:adjustRightInd/>
        <w:snapToGrid/>
        <w:spacing w:line="576" w:lineRule="exact"/>
        <w:ind w:firstLine="640" w:firstLineChars="200"/>
        <w:jc w:val="both"/>
        <w:textAlignment w:val="auto"/>
        <w:rPr>
          <w:rFonts w:hint="default" w:ascii="Times New Roman Regular" w:hAnsi="Times New Roman Regular" w:eastAsia="仿宋" w:cs="Times New Roman Regular"/>
          <w:snapToGrid/>
          <w:kern w:val="2"/>
          <w:sz w:val="32"/>
          <w:szCs w:val="32"/>
          <w:u w:color="000000"/>
        </w:rPr>
      </w:pPr>
    </w:p>
    <w:p>
      <w:pPr>
        <w:widowControl w:val="0"/>
        <w:kinsoku/>
        <w:autoSpaceDE/>
        <w:autoSpaceDN/>
        <w:adjustRightInd/>
        <w:snapToGrid/>
        <w:spacing w:line="576" w:lineRule="exact"/>
        <w:ind w:firstLine="640" w:firstLineChars="200"/>
        <w:jc w:val="both"/>
        <w:textAlignment w:val="auto"/>
        <w:rPr>
          <w:rFonts w:hint="default" w:ascii="Times New Roman Regular" w:hAnsi="Times New Roman Regular" w:eastAsia="仿宋" w:cs="Times New Roman Regular"/>
          <w:snapToGrid/>
          <w:kern w:val="2"/>
          <w:sz w:val="32"/>
          <w:szCs w:val="32"/>
          <w:u w:color="000000"/>
        </w:rPr>
      </w:pPr>
      <w:r>
        <w:rPr>
          <w:rFonts w:hint="eastAsia" w:ascii="Times New Roman Regular" w:hAnsi="Times New Roman Regular" w:eastAsia="仿宋" w:cs="Times New Roman Regular"/>
          <w:snapToGrid/>
          <w:kern w:val="2"/>
          <w:sz w:val="32"/>
          <w:szCs w:val="32"/>
          <w:u w:color="000000"/>
        </w:rPr>
        <w:t>备注：</w:t>
      </w:r>
    </w:p>
    <w:p>
      <w:pPr>
        <w:widowControl w:val="0"/>
        <w:kinsoku/>
        <w:autoSpaceDE/>
        <w:autoSpaceDN/>
        <w:adjustRightInd/>
        <w:snapToGrid/>
        <w:spacing w:line="576" w:lineRule="exact"/>
        <w:ind w:firstLine="640" w:firstLineChars="200"/>
        <w:jc w:val="both"/>
        <w:textAlignment w:val="auto"/>
        <w:rPr>
          <w:rFonts w:hint="default" w:ascii="Times New Roman Regular" w:hAnsi="Times New Roman Regular" w:eastAsia="仿宋" w:cs="Times New Roman Regular"/>
          <w:snapToGrid/>
          <w:kern w:val="2"/>
          <w:sz w:val="32"/>
          <w:szCs w:val="32"/>
          <w:u w:color="000000"/>
        </w:rPr>
      </w:pPr>
      <w:r>
        <w:rPr>
          <w:rFonts w:hint="eastAsia" w:ascii="Times New Roman Regular" w:hAnsi="Times New Roman Regular" w:eastAsia="仿宋" w:cs="Times New Roman Regular"/>
          <w:snapToGrid/>
          <w:kern w:val="2"/>
          <w:sz w:val="32"/>
          <w:szCs w:val="32"/>
          <w:u w:color="000000"/>
        </w:rPr>
        <w:t>1.学院实践育人工作考核总分排名前十的学院青协即当选为本年度“十佳青协”。</w:t>
      </w:r>
    </w:p>
    <w:p>
      <w:pPr>
        <w:widowControl w:val="0"/>
        <w:kinsoku/>
        <w:autoSpaceDE/>
        <w:autoSpaceDN/>
        <w:adjustRightInd/>
        <w:snapToGrid/>
        <w:spacing w:line="576" w:lineRule="exact"/>
        <w:ind w:firstLine="640" w:firstLineChars="200"/>
        <w:jc w:val="both"/>
        <w:textAlignment w:val="auto"/>
        <w:rPr>
          <w:rFonts w:hint="eastAsia" w:ascii="Times New Roman Regular" w:hAnsi="Times New Roman Regular" w:eastAsia="仿宋" w:cs="Times New Roman Regular"/>
          <w:snapToGrid/>
          <w:kern w:val="2"/>
          <w:sz w:val="32"/>
          <w:szCs w:val="32"/>
          <w:u w:color="000000"/>
        </w:rPr>
      </w:pPr>
      <w:r>
        <w:rPr>
          <w:rFonts w:hint="eastAsia" w:ascii="Times New Roman Regular" w:hAnsi="Times New Roman Regular" w:eastAsia="仿宋" w:cs="Times New Roman Regular"/>
          <w:snapToGrid/>
          <w:kern w:val="2"/>
          <w:sz w:val="32"/>
          <w:szCs w:val="32"/>
          <w:u w:color="000000"/>
        </w:rPr>
        <w:t>2.以上考核办法最终解释权归西南交通大学青年志愿者联合会所有。</w:t>
      </w:r>
    </w:p>
    <w:p>
      <w:pPr>
        <w:widowControl w:val="0"/>
        <w:kinsoku/>
        <w:autoSpaceDE/>
        <w:autoSpaceDN/>
        <w:adjustRightInd/>
        <w:snapToGrid/>
        <w:spacing w:line="576" w:lineRule="exact"/>
        <w:ind w:firstLine="640" w:firstLineChars="200"/>
        <w:jc w:val="both"/>
        <w:textAlignment w:val="auto"/>
        <w:rPr>
          <w:rFonts w:hint="eastAsia" w:ascii="Times New Roman Regular" w:hAnsi="Times New Roman Regular" w:eastAsia="仿宋" w:cs="Times New Roman Regular"/>
          <w:snapToGrid/>
          <w:kern w:val="2"/>
          <w:sz w:val="32"/>
          <w:szCs w:val="32"/>
          <w:u w:color="000000"/>
        </w:rPr>
      </w:pPr>
    </w:p>
    <w:p>
      <w:pPr>
        <w:widowControl w:val="0"/>
        <w:kinsoku/>
        <w:autoSpaceDE/>
        <w:autoSpaceDN/>
        <w:adjustRightInd/>
        <w:snapToGrid/>
        <w:spacing w:line="576" w:lineRule="exact"/>
        <w:ind w:firstLine="640" w:firstLineChars="200"/>
        <w:jc w:val="right"/>
        <w:textAlignment w:val="auto"/>
        <w:rPr>
          <w:rFonts w:hint="default" w:ascii="Times New Roman Regular" w:hAnsi="Times New Roman Regular" w:eastAsia="仿宋" w:cs="Times New Roman Regular"/>
          <w:snapToGrid/>
          <w:kern w:val="2"/>
          <w:sz w:val="32"/>
          <w:szCs w:val="32"/>
          <w:u w:color="000000"/>
          <w:lang w:val="en-US" w:eastAsia="zh-CN"/>
        </w:rPr>
      </w:pPr>
      <w:r>
        <w:rPr>
          <w:rFonts w:hint="eastAsia" w:ascii="Times New Roman Regular" w:hAnsi="Times New Roman Regular" w:eastAsia="仿宋" w:cs="Times New Roman Regular"/>
          <w:snapToGrid/>
          <w:kern w:val="2"/>
          <w:sz w:val="32"/>
          <w:szCs w:val="32"/>
          <w:u w:color="000000"/>
          <w:lang w:val="en-US" w:eastAsia="zh-CN"/>
        </w:rPr>
        <w:t>西南交通大学青年志愿者联合会</w:t>
      </w:r>
    </w:p>
    <w:p>
      <w:pPr>
        <w:widowControl w:val="0"/>
        <w:kinsoku/>
        <w:autoSpaceDE/>
        <w:autoSpaceDN/>
        <w:adjustRightInd/>
        <w:snapToGrid/>
        <w:spacing w:line="576" w:lineRule="exact"/>
        <w:ind w:firstLine="640" w:firstLineChars="200"/>
        <w:jc w:val="right"/>
        <w:textAlignment w:val="auto"/>
        <w:rPr>
          <w:rFonts w:ascii="Times New Roman" w:hAnsi="Times New Roman" w:eastAsia="方正仿宋简体" w:cs="Times New Roman"/>
          <w:snapToGrid/>
          <w:kern w:val="2"/>
          <w:sz w:val="32"/>
          <w:szCs w:val="32"/>
          <w:u w:color="000000"/>
        </w:rPr>
      </w:pPr>
      <w:r>
        <w:rPr>
          <w:rFonts w:ascii="Times New Roman" w:hAnsi="Times New Roman" w:eastAsia="方正仿宋简体" w:cs="Times New Roman"/>
          <w:snapToGrid/>
          <w:kern w:val="2"/>
          <w:sz w:val="32"/>
          <w:szCs w:val="32"/>
          <w:u w:color="000000"/>
        </w:rPr>
        <w:t>202</w:t>
      </w:r>
      <w:r>
        <w:rPr>
          <w:rFonts w:hint="eastAsia" w:ascii="Times New Roman" w:hAnsi="Times New Roman" w:eastAsia="方正仿宋简体" w:cs="Times New Roman"/>
          <w:snapToGrid/>
          <w:kern w:val="2"/>
          <w:sz w:val="32"/>
          <w:szCs w:val="32"/>
          <w:u w:color="000000"/>
          <w:lang w:val="en-US" w:eastAsia="zh-CN"/>
        </w:rPr>
        <w:t>4</w:t>
      </w:r>
      <w:r>
        <w:rPr>
          <w:rFonts w:ascii="Times New Roman" w:hAnsi="Times New Roman" w:eastAsia="方正仿宋简体" w:cs="Times New Roman"/>
          <w:snapToGrid/>
          <w:kern w:val="2"/>
          <w:sz w:val="32"/>
          <w:szCs w:val="32"/>
          <w:u w:color="000000"/>
        </w:rPr>
        <w:t>年</w:t>
      </w:r>
      <w:r>
        <w:rPr>
          <w:rFonts w:hint="eastAsia" w:ascii="Times New Roman" w:hAnsi="Times New Roman" w:eastAsia="方正仿宋简体" w:cs="Times New Roman"/>
          <w:snapToGrid/>
          <w:kern w:val="2"/>
          <w:sz w:val="32"/>
          <w:szCs w:val="32"/>
          <w:u w:color="000000"/>
          <w:lang w:val="en-US" w:eastAsia="zh-CN"/>
        </w:rPr>
        <w:t>12</w:t>
      </w:r>
      <w:r>
        <w:rPr>
          <w:rFonts w:ascii="Times New Roman" w:hAnsi="Times New Roman" w:eastAsia="方正仿宋简体" w:cs="Times New Roman"/>
          <w:snapToGrid/>
          <w:kern w:val="2"/>
          <w:sz w:val="32"/>
          <w:szCs w:val="32"/>
          <w:u w:color="000000"/>
        </w:rPr>
        <w:t>月</w:t>
      </w:r>
      <w:r>
        <w:rPr>
          <w:rFonts w:hint="eastAsia" w:ascii="Times New Roman" w:hAnsi="Times New Roman" w:eastAsia="方正仿宋简体" w:cs="Times New Roman"/>
          <w:snapToGrid/>
          <w:kern w:val="2"/>
          <w:sz w:val="32"/>
          <w:szCs w:val="32"/>
          <w:u w:color="000000"/>
          <w:lang w:val="en-US" w:eastAsia="zh-CN"/>
        </w:rPr>
        <w:t>2</w:t>
      </w:r>
      <w:r>
        <w:rPr>
          <w:rFonts w:ascii="Times New Roman" w:hAnsi="Times New Roman" w:eastAsia="方正仿宋简体" w:cs="Times New Roman"/>
          <w:snapToGrid/>
          <w:kern w:val="2"/>
          <w:sz w:val="32"/>
          <w:szCs w:val="32"/>
          <w:u w:color="000000"/>
        </w:rPr>
        <w:t>日</w:t>
      </w:r>
    </w:p>
    <w:p>
      <w:pPr>
        <w:kinsoku/>
        <w:overflowPunct w:val="0"/>
        <w:spacing w:line="360" w:lineRule="auto"/>
        <w:jc w:val="both"/>
        <w:outlineLvl w:val="0"/>
        <w:rPr>
          <w:rFonts w:hint="eastAsia" w:ascii="仿宋" w:hAnsi="仿宋" w:eastAsia="仿宋" w:cs="仿宋"/>
          <w:b/>
          <w:bCs/>
          <w:spacing w:val="2"/>
          <w:sz w:val="24"/>
          <w:szCs w:val="24"/>
        </w:rPr>
      </w:pPr>
    </w:p>
    <w:sectPr>
      <w:pgSz w:w="11907" w:h="16839"/>
      <w:pgMar w:top="1440" w:right="1800" w:bottom="1440"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_GBK">
    <w:altName w:val="汉仪书宋二KW"/>
    <w:panose1 w:val="02000000000000000000"/>
    <w:charset w:val="86"/>
    <w:family w:val="script"/>
    <w:pitch w:val="default"/>
    <w:sig w:usb0="00000000" w:usb1="00000000"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Times New Roman Regular">
    <w:panose1 w:val="02020603050405020304"/>
    <w:charset w:val="00"/>
    <w:family w:val="auto"/>
    <w:pitch w:val="default"/>
    <w:sig w:usb0="E0002AEF" w:usb1="C0007841" w:usb2="00000009" w:usb3="00000000" w:csb0="400001FF" w:csb1="FFFF0000"/>
  </w:font>
  <w:font w:name="方正仿宋简体">
    <w:altName w:val="方正仿宋_GBK"/>
    <w:panose1 w:val="02000000000000000000"/>
    <w:charset w:val="86"/>
    <w:family w:val="script"/>
    <w:pitch w:val="default"/>
    <w:sig w:usb0="00000000" w:usb1="00000000" w:usb2="00000012"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ZTU0NmNjMTViODIxZTFlNDA2ZmQ3NGY4OGEwNTdiNTcifQ=="/>
  </w:docVars>
  <w:rsids>
    <w:rsidRoot w:val="00494326"/>
    <w:rsid w:val="000262AF"/>
    <w:rsid w:val="001749C5"/>
    <w:rsid w:val="001A3182"/>
    <w:rsid w:val="00494326"/>
    <w:rsid w:val="08D27502"/>
    <w:rsid w:val="0FDFE4CC"/>
    <w:rsid w:val="17CB0414"/>
    <w:rsid w:val="199109BA"/>
    <w:rsid w:val="1BFED3D4"/>
    <w:rsid w:val="20A074A6"/>
    <w:rsid w:val="28484084"/>
    <w:rsid w:val="2EF56D18"/>
    <w:rsid w:val="335A55CF"/>
    <w:rsid w:val="400C3EE3"/>
    <w:rsid w:val="541648CE"/>
    <w:rsid w:val="6B97148D"/>
    <w:rsid w:val="6BF0637C"/>
    <w:rsid w:val="75BF3A67"/>
    <w:rsid w:val="7A722432"/>
    <w:rsid w:val="7A9F2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480</Words>
  <Characters>506</Characters>
  <Lines>5</Lines>
  <Paragraphs>1</Paragraphs>
  <TotalTime>1</TotalTime>
  <ScaleCrop>false</ScaleCrop>
  <LinksUpToDate>false</LinksUpToDate>
  <CharactersWithSpaces>507</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2021-09-20T02:13:00Z</dcterms:created>
  <dc:creator>MingXiang Deng [mn19m2d]</dc:creator>
  <cp:lastModifiedBy>WJR</cp:lastModifiedBy>
  <dcterms:modified xsi:type="dcterms:W3CDTF">2024-12-02T14:04:28Z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2022-11-28T21:14:26Z</vt:filetime>
  </property>
  <property fmtid="{D5CDD505-2E9C-101B-9397-08002B2CF9AE}" pid="4" name="KSOProductBuildVer">
    <vt:lpwstr>2052-6.2.1.8344</vt:lpwstr>
  </property>
  <property fmtid="{D5CDD505-2E9C-101B-9397-08002B2CF9AE}" pid="5" name="ICV">
    <vt:lpwstr>7CB2398C53B4B4E8B7134C670CA94C2B_43</vt:lpwstr>
  </property>
</Properties>
</file>